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53" w:rsidRPr="00042853" w:rsidRDefault="00042853" w:rsidP="00042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rtl/>
        </w:rPr>
      </w:pPr>
      <w:bookmarkStart w:id="0" w:name="_GoBack"/>
      <w:bookmarkEnd w:id="0"/>
      <w:r w:rsidRPr="00042853">
        <w:rPr>
          <w:rFonts w:ascii="Times New Roman" w:eastAsia="Times New Roman" w:hAnsi="Times New Roman" w:cs="B Nazanin" w:hint="cs"/>
          <w:b/>
          <w:bCs/>
          <w:color w:val="000000"/>
          <w:rtl/>
        </w:rPr>
        <w:t>آزمایشگاه ژنتیک بیمارستان حضرت ولی عصر (عج)</w:t>
      </w:r>
    </w:p>
    <w:p w:rsidR="00042853" w:rsidRPr="00042853" w:rsidRDefault="00042853" w:rsidP="00042853">
      <w:pPr>
        <w:shd w:val="clear" w:color="auto" w:fill="FFFFFF"/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386"/>
        <w:gridCol w:w="1971"/>
      </w:tblGrid>
      <w:tr w:rsidR="00042853" w:rsidRPr="00042853" w:rsidTr="00042853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عنوان تست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چرخه كاري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Covid-19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يك روز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H1N1(A/B)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يك روز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RT-PCR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كمي براي تعيين بار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HCV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در موارد اورژانسي يك روز و در موارد عادي حداكثر يك هفته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HCV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RT-PCR</w:t>
            </w:r>
            <w:r w:rsidRPr="00042853">
              <w:rPr>
                <w:rFonts w:ascii="Times New Roman" w:eastAsia="Times New Roman" w:hAnsi="Times New Roman" w:cs="B Nazanin"/>
                <w:b/>
                <w:bCs/>
              </w:rPr>
              <w:t> 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كمي براي تعيين بار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HIV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6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HIV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7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كمي براي تعيين بار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HBV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8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HBV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9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كمي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براي تعيين بار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HSV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HSV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كمي براي تعيين بار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CMV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CMV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  <w:lang w:bidi="fa-IR"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MTB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BK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JC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16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براي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  <w:lang w:bidi="fa-IR"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Rubella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17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PCR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كيفي براي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EBV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18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HPV Genotyping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ده روز</w:t>
            </w:r>
          </w:p>
        </w:tc>
      </w:tr>
      <w:tr w:rsidR="00042853" w:rsidRPr="00042853" w:rsidTr="00042853">
        <w:trPr>
          <w:trHeight w:val="5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19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بررسي فاكتور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V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ليدن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دو هفته</w:t>
            </w:r>
          </w:p>
        </w:tc>
      </w:tr>
      <w:tr w:rsidR="00042853" w:rsidRPr="00042853" w:rsidTr="00042853">
        <w:trPr>
          <w:trHeight w:val="31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20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بررسي فاكتور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2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Prothrombin G20210A)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دو هفته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21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بررسي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MTHFR C677T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دو هفته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22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بررسي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MTFR A1298C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دو هفته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23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after="0" w:line="240" w:lineRule="auto"/>
              <w:ind w:left="2160" w:hanging="2160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پانل ترومبوفيلي شامل چهار ژن فاكتور</w:t>
            </w:r>
            <w:r w:rsidRPr="00042853">
              <w:rPr>
                <w:rFonts w:ascii="Times New Roman" w:eastAsia="Times New Roman" w:hAnsi="Times New Roman" w:cs="B Nazanin"/>
                <w:b/>
                <w:bCs/>
              </w:rPr>
              <w:t>  V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ليدن،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Prothrombin G20210A</w:t>
            </w:r>
            <w:r w:rsidRPr="00042853">
              <w:rPr>
                <w:rFonts w:ascii="Times New Roman" w:eastAsia="Times New Roman" w:hAnsi="Times New Roman" w:cs="B Nazanin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،</w:t>
            </w:r>
          </w:p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MTHFR C677T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و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MTFR A1298C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دو هفته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24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بررسي جهش هاي شايع بيماري هموكروماتوز ارثي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HFE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/>
                <w:b/>
                <w:bCs/>
              </w:rPr>
              <w:t>-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25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بررسي جهش هاي شايع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JAK2 Mutation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حداقل سه ماه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  <w:lang w:bidi="fa-IR"/>
              </w:rPr>
              <w:t>26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</w:rPr>
              <w:t>آزمايش شكست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DNA</w:t>
            </w:r>
            <w:r w:rsidRPr="0004285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اسپرم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  <w:lang w:bidi="fa-IR"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Sperm DNA Fragmentation Assay (SDFA)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ده روز</w:t>
            </w:r>
          </w:p>
        </w:tc>
      </w:tr>
      <w:tr w:rsidR="00042853" w:rsidRPr="00042853" w:rsidTr="0004285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Arial" w:eastAsia="Times New Roman" w:hAnsi="Arial" w:cs="B Nazanin"/>
                <w:b/>
                <w:bCs/>
                <w:rtl/>
              </w:rPr>
              <w:t>27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آزمايش بلوغ كروماتين اسپرم</w:t>
            </w:r>
            <w:r w:rsidRPr="00042853">
              <w:rPr>
                <w:rFonts w:ascii="Cambria" w:eastAsia="Times New Roman" w:hAnsi="Cambria" w:cs="Cambria" w:hint="cs"/>
                <w:b/>
                <w:bCs/>
                <w:rtl/>
                <w:lang w:bidi="fa-IR"/>
              </w:rPr>
              <w:t> </w:t>
            </w:r>
            <w:r w:rsidRPr="00042853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Sperm Chromatin Maturation Assay (SCMA)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53" w:rsidRPr="00042853" w:rsidRDefault="00042853" w:rsidP="0004285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42853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ده روز</w:t>
            </w:r>
          </w:p>
        </w:tc>
      </w:tr>
    </w:tbl>
    <w:p w:rsidR="00042853" w:rsidRPr="00042853" w:rsidRDefault="00042853" w:rsidP="00042853">
      <w:pPr>
        <w:shd w:val="clear" w:color="auto" w:fill="FFFFFF"/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</w:rPr>
      </w:pPr>
    </w:p>
    <w:p w:rsidR="00E863A6" w:rsidRPr="00042853" w:rsidRDefault="001679DE">
      <w:pPr>
        <w:rPr>
          <w:rFonts w:cs="B Nazanin"/>
          <w:b/>
          <w:bCs/>
          <w:sz w:val="20"/>
          <w:szCs w:val="20"/>
        </w:rPr>
      </w:pPr>
    </w:p>
    <w:sectPr w:rsidR="00E863A6" w:rsidRPr="000428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53"/>
    <w:rsid w:val="00042853"/>
    <w:rsid w:val="001679DE"/>
    <w:rsid w:val="005550A5"/>
    <w:rsid w:val="0091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E39E8-9329-4037-AB6F-86EFEADD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4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ravabet</cp:lastModifiedBy>
  <cp:revision>2</cp:revision>
  <dcterms:created xsi:type="dcterms:W3CDTF">2023-09-23T09:53:00Z</dcterms:created>
  <dcterms:modified xsi:type="dcterms:W3CDTF">2023-09-23T09:53:00Z</dcterms:modified>
</cp:coreProperties>
</file>